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60" w:rsidRPr="00C12D3B" w:rsidRDefault="005F76E5" w:rsidP="00C12D3B">
      <w:pPr>
        <w:jc w:val="center"/>
        <w:rPr>
          <w:b/>
          <w:sz w:val="28"/>
          <w:szCs w:val="28"/>
          <w:u w:val="single"/>
        </w:rPr>
      </w:pPr>
      <w:bookmarkStart w:id="0" w:name="_GoBack"/>
      <w:bookmarkEnd w:id="0"/>
      <w:r w:rsidRPr="00C12D3B">
        <w:rPr>
          <w:b/>
          <w:sz w:val="28"/>
          <w:szCs w:val="28"/>
          <w:u w:val="single"/>
        </w:rPr>
        <w:t xml:space="preserve">Regulamin udzielania świadczeń w domowej opiece paliatywnej dla </w:t>
      </w:r>
      <w:r w:rsidR="00E33DCA">
        <w:rPr>
          <w:b/>
          <w:sz w:val="28"/>
          <w:szCs w:val="28"/>
          <w:u w:val="single"/>
        </w:rPr>
        <w:t>dzieci</w:t>
      </w:r>
    </w:p>
    <w:p w:rsidR="005F76E5" w:rsidRDefault="005F76E5"/>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Opieka paliatywna i hospicyjna ma na celu poprawę jakości życia chorego i jego bliskich zmagających się z codziennymi problemami związanymi z postępującą, często nieuleczalną chorobą. Podejmowane działania służą zapobieganiu cierpienia, również psychicznego i duchowego, niesieniu ulgi, leczeniu bólu i innych objawów somatycznych oraz pomocy w rozwiązywaniu problemów, wraz ze wsparciem dla rodziny pacjenta.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Świadczenia zdrowotne w opiece paliatywnej udzielane są, w zależności od potrzeb, przez wielodyscyplinarny zespół osób przygotowanych do opieki nad nieuleczalnie chorymi. W skład zespołu wchodzą lekarze, pielęgniarki, fizjoterapeuci, psycholog, </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Do objęcia opieką paliatywną i hospicyjną kieruje lekarz ubezpieczenia zdrowotnego.</w:t>
      </w:r>
    </w:p>
    <w:p w:rsidR="005F76E5" w:rsidRPr="005F76E5" w:rsidRDefault="005F76E5" w:rsidP="005F76E5">
      <w:pPr>
        <w:spacing w:after="0"/>
        <w:rPr>
          <w:rFonts w:ascii="Arial" w:eastAsia="Times New Roman" w:hAnsi="Arial" w:cs="Arial"/>
          <w:sz w:val="24"/>
          <w:szCs w:val="24"/>
          <w:lang w:eastAsia="pl-PL"/>
        </w:rPr>
      </w:pPr>
      <w:r w:rsidRPr="005F76E5">
        <w:rPr>
          <w:rFonts w:ascii="Arial" w:eastAsia="Times New Roman" w:hAnsi="Arial" w:cs="Arial"/>
          <w:sz w:val="24"/>
          <w:szCs w:val="24"/>
          <w:lang w:eastAsia="pl-PL"/>
        </w:rPr>
        <w:t>Pacjent nie może przebywać w Zakładzie wbrew własnej woli. Zgoda pacjenta na pobyt jest warunkiem przyjęcia. W przypadku chorych nie mogących wyrazić świadomie zgody na umieszczenie w Hospicjum , nie posiadających opiekuna prawnego, konieczne jest uzyskanie zgody zastępczej  Sądu Wydziału ds. Rodzinnych  i Nieletnich .</w:t>
      </w:r>
    </w:p>
    <w:p w:rsidR="005F76E5" w:rsidRPr="005F76E5" w:rsidRDefault="005F76E5" w:rsidP="005F76E5">
      <w:pPr>
        <w:spacing w:after="0"/>
        <w:rPr>
          <w:rFonts w:ascii="Arial" w:eastAsia="Times New Roman" w:hAnsi="Arial" w:cs="Arial"/>
          <w:sz w:val="24"/>
          <w:szCs w:val="24"/>
          <w:lang w:eastAsia="pl-PL"/>
        </w:rPr>
      </w:pP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u w:val="single"/>
        </w:rPr>
        <w:t xml:space="preserve">Opieka w hospicjum </w:t>
      </w:r>
      <w:r w:rsidR="00E33DCA">
        <w:rPr>
          <w:rFonts w:ascii="Arial" w:eastAsia="Calibri" w:hAnsi="Arial" w:cs="Arial"/>
          <w:sz w:val="24"/>
          <w:szCs w:val="24"/>
          <w:u w:val="single"/>
        </w:rPr>
        <w:t xml:space="preserve">domowym </w:t>
      </w:r>
      <w:r w:rsidRPr="005F76E5">
        <w:rPr>
          <w:rFonts w:ascii="Arial" w:eastAsia="Calibri" w:hAnsi="Arial" w:cs="Arial"/>
          <w:sz w:val="24"/>
          <w:szCs w:val="24"/>
          <w:u w:val="single"/>
        </w:rPr>
        <w:t>realizowana jest zgodnie z umową zawartą z NFZ i jest bezpłatna dla chorego i obejmuje</w:t>
      </w:r>
      <w:r w:rsidRPr="005F76E5">
        <w:rPr>
          <w:rFonts w:ascii="Arial" w:eastAsia="Calibri" w:hAnsi="Arial" w:cs="Arial"/>
          <w:sz w:val="24"/>
          <w:szCs w:val="24"/>
        </w:rPr>
        <w:t>:</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świadczenia opieki zdrowotnej udzielane przez lekarzy;</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świadczenia opieki zdrowotnej udzielane przez pielęgniarki;</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leczenie bólu zgodnie z wytycznymi Światowej Organizacji Zdrowia (drabina  </w:t>
      </w:r>
      <w:r w:rsidRPr="00C12D3B">
        <w:rPr>
          <w:rFonts w:ascii="Arial" w:eastAsia="Calibri" w:hAnsi="Arial" w:cs="Arial"/>
          <w:sz w:val="24"/>
          <w:szCs w:val="24"/>
        </w:rPr>
        <w:t xml:space="preserve">   </w:t>
      </w:r>
      <w:r w:rsidRPr="005F76E5">
        <w:rPr>
          <w:rFonts w:ascii="Arial" w:eastAsia="Calibri" w:hAnsi="Arial" w:cs="Arial"/>
          <w:sz w:val="24"/>
          <w:szCs w:val="24"/>
        </w:rPr>
        <w:t>analgetyczna);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leczenie innych objawów somatycznych;</w:t>
      </w:r>
    </w:p>
    <w:p w:rsidR="00C12D3B" w:rsidRPr="00C12D3B" w:rsidRDefault="005F76E5" w:rsidP="005F76E5">
      <w:pPr>
        <w:rPr>
          <w:rFonts w:ascii="Arial" w:eastAsia="Calibri" w:hAnsi="Arial" w:cs="Arial"/>
          <w:sz w:val="24"/>
          <w:szCs w:val="24"/>
        </w:rPr>
      </w:pPr>
      <w:r w:rsidRPr="005F76E5">
        <w:rPr>
          <w:rFonts w:ascii="Arial" w:eastAsia="Calibri" w:hAnsi="Arial" w:cs="Arial"/>
          <w:sz w:val="24"/>
          <w:szCs w:val="24"/>
        </w:rPr>
        <w:t>opiekę psychologiczną nad świadczeniobiorcą i jego rodziną;</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rehabilitację;</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zapobieganie powikłaniom;</w:t>
      </w:r>
    </w:p>
    <w:p w:rsidR="00C12D3B" w:rsidRPr="00C12D3B" w:rsidRDefault="005F76E5" w:rsidP="005F76E5">
      <w:pPr>
        <w:rPr>
          <w:rFonts w:ascii="Arial" w:eastAsia="Calibri" w:hAnsi="Arial" w:cs="Arial"/>
          <w:sz w:val="24"/>
          <w:szCs w:val="24"/>
        </w:rPr>
      </w:pPr>
      <w:r w:rsidRPr="005F76E5">
        <w:rPr>
          <w:rFonts w:ascii="Arial" w:eastAsia="Calibri" w:hAnsi="Arial" w:cs="Arial"/>
          <w:sz w:val="24"/>
          <w:szCs w:val="24"/>
        </w:rPr>
        <w:t>badania zlecone przez lekarza zatrudnionego w hospicjum</w:t>
      </w:r>
      <w:r w:rsidR="00C12D3B" w:rsidRPr="00C12D3B">
        <w:rPr>
          <w:rFonts w:ascii="Arial" w:eastAsia="Calibri" w:hAnsi="Arial" w:cs="Arial"/>
          <w:sz w:val="24"/>
          <w:szCs w:val="24"/>
        </w:rPr>
        <w:t xml:space="preserve"> domowym</w:t>
      </w:r>
    </w:p>
    <w:p w:rsidR="005F76E5" w:rsidRPr="00C12D3B" w:rsidRDefault="005F76E5" w:rsidP="005F76E5">
      <w:pPr>
        <w:rPr>
          <w:rFonts w:ascii="Arial" w:eastAsia="Calibri" w:hAnsi="Arial" w:cs="Arial"/>
          <w:sz w:val="24"/>
          <w:szCs w:val="24"/>
        </w:rPr>
      </w:pPr>
      <w:r w:rsidRPr="005F76E5">
        <w:rPr>
          <w:rFonts w:ascii="Arial" w:eastAsia="Calibri" w:hAnsi="Arial" w:cs="Arial"/>
          <w:sz w:val="24"/>
          <w:szCs w:val="24"/>
        </w:rPr>
        <w:t>zaopatrzenie w wyroby medyczne konieczne do wykonania świadczenia gwarantowanego,</w:t>
      </w:r>
    </w:p>
    <w:p w:rsidR="00DD66D1" w:rsidRPr="00C12D3B" w:rsidRDefault="00DD66D1" w:rsidP="005F76E5">
      <w:pPr>
        <w:rPr>
          <w:rFonts w:ascii="Arial" w:hAnsi="Arial" w:cs="Arial"/>
          <w:sz w:val="24"/>
          <w:szCs w:val="24"/>
        </w:rPr>
      </w:pPr>
      <w:r w:rsidRPr="00C12D3B">
        <w:rPr>
          <w:rFonts w:ascii="Arial" w:hAnsi="Arial" w:cs="Arial"/>
          <w:sz w:val="24"/>
          <w:szCs w:val="24"/>
        </w:rPr>
        <w:t>badania zlecone przez lekarza zatrudnionego w hospicjum domowym dla dorosłych lub dla dzieci do ukończenia 18. roku życia,</w:t>
      </w:r>
    </w:p>
    <w:p w:rsidR="00DD66D1" w:rsidRPr="00C12D3B" w:rsidRDefault="00DD66D1" w:rsidP="005F76E5">
      <w:pPr>
        <w:rPr>
          <w:rFonts w:ascii="Arial" w:hAnsi="Arial" w:cs="Arial"/>
          <w:sz w:val="24"/>
          <w:szCs w:val="24"/>
        </w:rPr>
      </w:pPr>
      <w:r w:rsidRPr="00C12D3B">
        <w:rPr>
          <w:rFonts w:ascii="Arial" w:hAnsi="Arial" w:cs="Arial"/>
          <w:sz w:val="24"/>
          <w:szCs w:val="24"/>
        </w:rPr>
        <w:lastRenderedPageBreak/>
        <w:t xml:space="preserve">ordynację leków </w:t>
      </w:r>
    </w:p>
    <w:p w:rsidR="00DD66D1" w:rsidRPr="00C12D3B" w:rsidRDefault="00DD66D1" w:rsidP="00DD66D1">
      <w:pPr>
        <w:rPr>
          <w:rFonts w:ascii="Arial" w:eastAsia="Times New Roman" w:hAnsi="Arial" w:cs="Arial"/>
          <w:sz w:val="24"/>
          <w:szCs w:val="24"/>
          <w:lang w:eastAsia="pl-PL"/>
        </w:rPr>
      </w:pPr>
      <w:r w:rsidRPr="00C12D3B">
        <w:rPr>
          <w:rFonts w:ascii="Arial" w:hAnsi="Arial" w:cs="Arial"/>
          <w:sz w:val="24"/>
          <w:szCs w:val="24"/>
        </w:rPr>
        <w:t xml:space="preserve">bezpłatne wypożyczanie przez hospicja domowe wyrobów medycznych </w:t>
      </w:r>
      <w:r w:rsidR="00C12D3B" w:rsidRPr="00C12D3B">
        <w:rPr>
          <w:rFonts w:ascii="Arial" w:eastAsia="Times New Roman" w:hAnsi="Arial" w:cs="Arial"/>
          <w:sz w:val="24"/>
          <w:szCs w:val="24"/>
          <w:lang w:eastAsia="pl-PL"/>
        </w:rPr>
        <w:t>:</w:t>
      </w:r>
    </w:p>
    <w:p w:rsidR="00DD66D1" w:rsidRPr="00C12D3B" w:rsidRDefault="00DD66D1" w:rsidP="00DD66D1">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 xml:space="preserve">1) koncentrator tlenu </w:t>
      </w:r>
    </w:p>
    <w:p w:rsidR="00DD66D1" w:rsidRPr="00DD66D1" w:rsidRDefault="00DD66D1" w:rsidP="00C12D3B">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 xml:space="preserve">2) ssak elektryczny </w:t>
      </w:r>
    </w:p>
    <w:p w:rsidR="00DD66D1" w:rsidRPr="00DD66D1" w:rsidRDefault="00C12D3B" w:rsidP="00DD66D1">
      <w:pPr>
        <w:spacing w:after="0" w:line="240" w:lineRule="auto"/>
        <w:rPr>
          <w:rFonts w:ascii="Arial" w:eastAsia="Times New Roman" w:hAnsi="Arial" w:cs="Arial"/>
          <w:sz w:val="24"/>
          <w:szCs w:val="24"/>
          <w:lang w:eastAsia="pl-PL"/>
        </w:rPr>
      </w:pPr>
      <w:r w:rsidRPr="00C12D3B">
        <w:rPr>
          <w:rFonts w:ascii="Arial" w:eastAsia="Times New Roman" w:hAnsi="Arial" w:cs="Arial"/>
          <w:sz w:val="24"/>
          <w:szCs w:val="24"/>
          <w:lang w:eastAsia="pl-PL"/>
        </w:rPr>
        <w:t xml:space="preserve">3) </w:t>
      </w:r>
      <w:r w:rsidR="00DD66D1" w:rsidRPr="00DD66D1">
        <w:rPr>
          <w:rFonts w:ascii="Arial" w:eastAsia="Times New Roman" w:hAnsi="Arial" w:cs="Arial"/>
          <w:sz w:val="24"/>
          <w:szCs w:val="24"/>
          <w:lang w:eastAsia="pl-PL"/>
        </w:rPr>
        <w:t>inhalatory;</w:t>
      </w:r>
    </w:p>
    <w:p w:rsidR="00DD66D1" w:rsidRPr="00DD66D1" w:rsidRDefault="00DD66D1" w:rsidP="00DD66D1">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 xml:space="preserve">4) </w:t>
      </w:r>
      <w:proofErr w:type="spellStart"/>
      <w:r w:rsidRPr="00DD66D1">
        <w:rPr>
          <w:rFonts w:ascii="Arial" w:eastAsia="Times New Roman" w:hAnsi="Arial" w:cs="Arial"/>
          <w:sz w:val="24"/>
          <w:szCs w:val="24"/>
          <w:lang w:eastAsia="pl-PL"/>
        </w:rPr>
        <w:t>glukometry</w:t>
      </w:r>
      <w:proofErr w:type="spellEnd"/>
      <w:r w:rsidRPr="00DD66D1">
        <w:rPr>
          <w:rFonts w:ascii="Arial" w:eastAsia="Times New Roman" w:hAnsi="Arial" w:cs="Arial"/>
          <w:sz w:val="24"/>
          <w:szCs w:val="24"/>
          <w:lang w:eastAsia="pl-PL"/>
        </w:rPr>
        <w:t>;</w:t>
      </w:r>
    </w:p>
    <w:p w:rsidR="00DD66D1" w:rsidRPr="00DD66D1" w:rsidRDefault="00DD66D1" w:rsidP="00DD66D1">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5) aparat do pomiaru ciśnienia tętniczego;</w:t>
      </w:r>
    </w:p>
    <w:p w:rsidR="00DD66D1" w:rsidRPr="00DD66D1" w:rsidRDefault="00DD66D1" w:rsidP="00DD66D1">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6) pompy</w:t>
      </w:r>
      <w:r w:rsidR="00C12D3B" w:rsidRPr="00C12D3B">
        <w:rPr>
          <w:rFonts w:ascii="Arial" w:eastAsia="Times New Roman" w:hAnsi="Arial" w:cs="Arial"/>
          <w:sz w:val="24"/>
          <w:szCs w:val="24"/>
          <w:lang w:eastAsia="pl-PL"/>
        </w:rPr>
        <w:t xml:space="preserve"> infuzyjne</w:t>
      </w:r>
      <w:r w:rsidRPr="00DD66D1">
        <w:rPr>
          <w:rFonts w:ascii="Arial" w:eastAsia="Times New Roman" w:hAnsi="Arial" w:cs="Arial"/>
          <w:sz w:val="24"/>
          <w:szCs w:val="24"/>
          <w:lang w:eastAsia="pl-PL"/>
        </w:rPr>
        <w:t>;</w:t>
      </w:r>
    </w:p>
    <w:p w:rsidR="005F76E5" w:rsidRPr="00C12D3B" w:rsidRDefault="00DD66D1" w:rsidP="00C12D3B">
      <w:pPr>
        <w:spacing w:after="0" w:line="240" w:lineRule="auto"/>
        <w:rPr>
          <w:rFonts w:ascii="Arial" w:eastAsia="Times New Roman" w:hAnsi="Arial" w:cs="Arial"/>
          <w:sz w:val="24"/>
          <w:szCs w:val="24"/>
          <w:lang w:eastAsia="pl-PL"/>
        </w:rPr>
      </w:pPr>
      <w:r w:rsidRPr="00DD66D1">
        <w:rPr>
          <w:rFonts w:ascii="Arial" w:eastAsia="Times New Roman" w:hAnsi="Arial" w:cs="Arial"/>
          <w:sz w:val="24"/>
          <w:szCs w:val="24"/>
          <w:lang w:eastAsia="pl-PL"/>
        </w:rPr>
        <w:t>7) kule, laski, balkoniki, chodziki, wózki inwalidzkie;</w:t>
      </w:r>
    </w:p>
    <w:p w:rsidR="00C12D3B" w:rsidRPr="005F76E5" w:rsidRDefault="00C12D3B" w:rsidP="00C12D3B">
      <w:pPr>
        <w:spacing w:after="0" w:line="240" w:lineRule="auto"/>
        <w:rPr>
          <w:rFonts w:ascii="Arial" w:eastAsia="Times New Roman" w:hAnsi="Arial" w:cs="Arial"/>
          <w:sz w:val="24"/>
          <w:szCs w:val="24"/>
          <w:lang w:eastAsia="pl-PL"/>
        </w:rPr>
      </w:pP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 xml:space="preserve">Przejazd środkami transportu sanitarnego w przypadkach niewymienionych w </w:t>
      </w:r>
      <w:hyperlink r:id="rId5" w:anchor="/document/17127716?unitId=art(41)ust(1)&amp;cm=DOCUMENT" w:history="1">
        <w:r w:rsidRPr="005F76E5">
          <w:rPr>
            <w:rFonts w:ascii="Arial" w:eastAsia="Times New Roman" w:hAnsi="Arial" w:cs="Arial"/>
            <w:color w:val="0000FF"/>
            <w:sz w:val="24"/>
            <w:szCs w:val="24"/>
            <w:u w:val="single"/>
            <w:lang w:eastAsia="pl-PL"/>
          </w:rPr>
          <w:t>art. 41 ust. 1</w:t>
        </w:r>
      </w:hyperlink>
      <w:r w:rsidRPr="005F76E5">
        <w:rPr>
          <w:rFonts w:ascii="Arial" w:eastAsia="Times New Roman" w:hAnsi="Arial" w:cs="Arial"/>
          <w:sz w:val="24"/>
          <w:szCs w:val="24"/>
          <w:lang w:eastAsia="pl-PL"/>
        </w:rPr>
        <w:t xml:space="preserve"> i </w:t>
      </w:r>
      <w:hyperlink r:id="rId6" w:anchor="/document/17127716?unitId=art(41)ust(2)&amp;cm=DOCUMENT" w:history="1">
        <w:r w:rsidRPr="005F76E5">
          <w:rPr>
            <w:rFonts w:ascii="Arial" w:eastAsia="Times New Roman" w:hAnsi="Arial" w:cs="Arial"/>
            <w:color w:val="0000FF"/>
            <w:sz w:val="24"/>
            <w:szCs w:val="24"/>
            <w:u w:val="single"/>
            <w:lang w:eastAsia="pl-PL"/>
          </w:rPr>
          <w:t>2</w:t>
        </w:r>
      </w:hyperlink>
      <w:r w:rsidRPr="005F76E5">
        <w:rPr>
          <w:rFonts w:ascii="Arial" w:eastAsia="Times New Roman" w:hAnsi="Arial" w:cs="Arial"/>
          <w:sz w:val="24"/>
          <w:szCs w:val="24"/>
          <w:lang w:eastAsia="pl-PL"/>
        </w:rPr>
        <w:t xml:space="preserve"> ustawy z dnia 27 sierpnia 2004 r. o świadczeniach opieki zdrowotnej finansowanych ze środków publicznych jest finansowany w 40% ze środków publicznych w przypadku:</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 chorób krwi i narządów krwiotwórczych,</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2) chorób nowotworowych,</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3) chorób oczu,</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4) chorób przemiany materii,</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5) chorób psychicznych i zaburzeń zachowania,</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6) chorób skóry i tkanki podskórnej,</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7) chorób układu krążenia,</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8) chorób układu moczowo-płciowego,</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9) chorób układu nerwowego,</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10) chorób układu oddechowego,</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11) chorób układu ruchu,</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12) chorób układu trawiennego,</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13) chorób układu wydzielania wewnętrznego,</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14) chorób zakaźnych i pasożytniczych,</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15) urazów i zatruć,</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16) wad rozwojowych wrodzonych, zniekształceń i aberracji chromosomowych</w:t>
      </w:r>
    </w:p>
    <w:p w:rsidR="005F76E5" w:rsidRPr="005F76E5" w:rsidRDefault="005F76E5" w:rsidP="005F76E5">
      <w:pPr>
        <w:spacing w:before="100" w:beforeAutospacing="1" w:after="100" w:afterAutospacing="1"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 gdy ze zlecenia lekarza ubezpieczenia zdrowotnego lub felczera ubezpieczenia zdrowotnego wynika, że świadczeniobiorca jest zdolny do samodzielnego poruszania się bez stałej pomocy innej osoby, ale wymaga przy korzystaniu ze środków transportu publicznego pomocy innej osoby lub środka transportu publicznego dostosowanego do potrzeb osób niepełnosprawnych.</w:t>
      </w:r>
    </w:p>
    <w:p w:rsidR="005F76E5" w:rsidRPr="005F76E5" w:rsidRDefault="005F76E5" w:rsidP="005F76E5">
      <w:pPr>
        <w:spacing w:after="0" w:line="240" w:lineRule="auto"/>
        <w:rPr>
          <w:rFonts w:ascii="Arial" w:eastAsia="Times New Roman" w:hAnsi="Arial" w:cs="Arial"/>
          <w:sz w:val="24"/>
          <w:szCs w:val="24"/>
          <w:lang w:eastAsia="pl-PL"/>
        </w:rPr>
      </w:pPr>
      <w:r w:rsidRPr="005F76E5">
        <w:rPr>
          <w:rFonts w:ascii="Arial" w:eastAsia="Times New Roman" w:hAnsi="Arial" w:cs="Arial"/>
          <w:sz w:val="24"/>
          <w:szCs w:val="24"/>
          <w:lang w:eastAsia="pl-PL"/>
        </w:rPr>
        <w:t>3. Świadczeniobiorcom korzystającym ze świadczeń gwarantowanych realizowanych w hospicjum domowym dla dorosłych albo hospicjum domowym dla dzieci do ukończenia 18. roku życia nie przysługują świadczenia gwarantowane z zakresu świadczeń pielęgnacyjnych i opiekuńczych w ramach opieki długoterminowej udzielane w warunkach domowych oraz świadczenia z zakresu rehabilitacji leczniczej udzielane w warunkach domowych.</w:t>
      </w:r>
    </w:p>
    <w:p w:rsidR="005F76E5" w:rsidRPr="005F76E5" w:rsidRDefault="005F76E5" w:rsidP="005F76E5">
      <w:pPr>
        <w:rPr>
          <w:rFonts w:ascii="Arial" w:eastAsia="Calibri" w:hAnsi="Arial" w:cs="Arial"/>
          <w:sz w:val="24"/>
          <w:szCs w:val="24"/>
        </w:rPr>
      </w:pPr>
    </w:p>
    <w:p w:rsidR="005F76E5" w:rsidRPr="00E33DCA" w:rsidRDefault="005F76E5" w:rsidP="005F76E5">
      <w:pPr>
        <w:rPr>
          <w:rFonts w:ascii="Arial" w:eastAsia="Calibri" w:hAnsi="Arial" w:cs="Arial"/>
          <w:sz w:val="24"/>
          <w:szCs w:val="24"/>
          <w:u w:val="single"/>
        </w:rPr>
      </w:pPr>
      <w:r w:rsidRPr="005F76E5">
        <w:rPr>
          <w:rFonts w:ascii="Arial" w:eastAsia="Calibri" w:hAnsi="Arial" w:cs="Arial"/>
          <w:sz w:val="24"/>
          <w:szCs w:val="24"/>
          <w:u w:val="single"/>
        </w:rPr>
        <w:t>Zasady przyjęcia do Hospicjum</w:t>
      </w:r>
    </w:p>
    <w:p w:rsidR="00C12D3B" w:rsidRPr="005F76E5" w:rsidRDefault="00C12D3B" w:rsidP="00C12D3B">
      <w:pPr>
        <w:rPr>
          <w:rFonts w:ascii="Arial" w:eastAsia="Calibri" w:hAnsi="Arial" w:cs="Arial"/>
          <w:b/>
          <w:sz w:val="24"/>
          <w:szCs w:val="24"/>
        </w:rPr>
      </w:pPr>
      <w:r w:rsidRPr="005F76E5">
        <w:rPr>
          <w:rFonts w:ascii="Arial" w:eastAsia="Calibri" w:hAnsi="Arial" w:cs="Arial"/>
          <w:sz w:val="24"/>
          <w:szCs w:val="24"/>
        </w:rPr>
        <w:t xml:space="preserve">Wykaz jednostek chorobowych kwalifikujących do opieki hospicyjnej </w:t>
      </w:r>
      <w:r w:rsidR="004B30C2" w:rsidRPr="00E33DCA">
        <w:rPr>
          <w:rFonts w:ascii="Arial" w:eastAsia="Calibri" w:hAnsi="Arial" w:cs="Arial"/>
          <w:sz w:val="24"/>
          <w:szCs w:val="24"/>
        </w:rPr>
        <w:t xml:space="preserve"> dla dzieci do 18 r.ż. </w:t>
      </w:r>
      <w:r w:rsidRPr="005F76E5">
        <w:rPr>
          <w:rFonts w:ascii="Arial" w:eastAsia="Calibri" w:hAnsi="Arial" w:cs="Arial"/>
          <w:sz w:val="24"/>
          <w:szCs w:val="24"/>
        </w:rPr>
        <w:t>refundowanej przez NFZ</w:t>
      </w:r>
      <w:r w:rsidRPr="005F76E5">
        <w:rPr>
          <w:rFonts w:ascii="Arial" w:eastAsia="Calibri" w:hAnsi="Arial" w:cs="Arial"/>
          <w:b/>
          <w:sz w:val="24"/>
          <w:szCs w:val="24"/>
        </w:rPr>
        <w:t>:</w:t>
      </w:r>
    </w:p>
    <w:p w:rsidR="004B30C2" w:rsidRPr="004B30C2" w:rsidRDefault="004B30C2" w:rsidP="004B30C2">
      <w:pPr>
        <w:spacing w:before="100" w:beforeAutospacing="1" w:after="100" w:afterAutospacing="1" w:line="240" w:lineRule="auto"/>
        <w:outlineLvl w:val="4"/>
        <w:rPr>
          <w:rFonts w:ascii="Arial" w:eastAsia="Times New Roman" w:hAnsi="Arial" w:cs="Arial"/>
          <w:b/>
          <w:bCs/>
          <w:sz w:val="24"/>
          <w:szCs w:val="24"/>
          <w:lang w:eastAsia="pl-PL"/>
        </w:rPr>
      </w:pPr>
    </w:p>
    <w:tbl>
      <w:tblPr>
        <w:tblW w:w="9910" w:type="dxa"/>
        <w:tblCellSpacing w:w="15" w:type="dxa"/>
        <w:tblCellMar>
          <w:top w:w="15" w:type="dxa"/>
          <w:left w:w="15" w:type="dxa"/>
          <w:bottom w:w="15" w:type="dxa"/>
          <w:right w:w="15" w:type="dxa"/>
        </w:tblCellMar>
        <w:tblLook w:val="04A0" w:firstRow="1" w:lastRow="0" w:firstColumn="1" w:lastColumn="0" w:noHBand="0" w:noVBand="1"/>
      </w:tblPr>
      <w:tblGrid>
        <w:gridCol w:w="409"/>
        <w:gridCol w:w="785"/>
        <w:gridCol w:w="8716"/>
      </w:tblGrid>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A81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Atypowe wirusowe zakażenia ośrodkowego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B20-B24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Choroba wywołana przez ludzki wirus upośledzenia odporności (HIV)</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B90-B94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chorób zakaźnych i pasożytniczych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C00-C14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wargi, jamy ustnej i gardła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C15-C26</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narządów układu pokarmowego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C30-C39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układu oddechowego i narządów klatki piersiowej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C40-C41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Nowotwór złośliwy kości i chrząstki stawowej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C43-C44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Czerniak i inne nowotwory złośliwe skóry</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C45-C49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Nowotwory złośliwe </w:t>
            </w:r>
            <w:proofErr w:type="spellStart"/>
            <w:r w:rsidRPr="004B30C2">
              <w:rPr>
                <w:rFonts w:ascii="Arial" w:eastAsia="Times New Roman" w:hAnsi="Arial" w:cs="Arial"/>
                <w:sz w:val="24"/>
                <w:szCs w:val="24"/>
                <w:lang w:eastAsia="pl-PL"/>
              </w:rPr>
              <w:t>mezotelium</w:t>
            </w:r>
            <w:proofErr w:type="spellEnd"/>
            <w:r w:rsidRPr="004B30C2">
              <w:rPr>
                <w:rFonts w:ascii="Arial" w:eastAsia="Times New Roman" w:hAnsi="Arial" w:cs="Arial"/>
                <w:sz w:val="24"/>
                <w:szCs w:val="24"/>
                <w:lang w:eastAsia="pl-PL"/>
              </w:rPr>
              <w:t xml:space="preserve"> i tkanek miękkich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C50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Nowotwór złośliwy piersi</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C51-C58</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żeńskich narządów płciowych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C60-C63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męskich narządów płciowych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C64-C68</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układu moczowego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C69-C72</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oka, mózgu i innych części ośrodkowego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C73-C75</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tarczycy i innych gruczołów wydzielania wewnętrznego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C76-C80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niedokładnie określone, wtórne i o nieokreślonym umiejscowieniu</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C81-C96</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o potwierdzonym lub przypuszczalnym pierwotnym charakterze, tkanki limfatycznej, układu krwiotwórczego i tkanek pokrewnych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C97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złośliwe o niezależnym (pierwotnym) mnogim umiejscowieniu</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19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D00-D09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in situ</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D32</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Nowotwór niezłośliwy opon mózgowo-rdzeniowych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D33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Nowotwór niezłośliwy mózgu i innych części ośrodkowego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D37-D48</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Nowotwory o niepewnym lub nieznanym charakterze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E70-E90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Choroby metaboliczne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F84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Całościowe zaburzenia rozwojowe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G09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zapalnych chorób ośrodkowego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lastRenderedPageBreak/>
              <w:t>26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G10-G13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Układowe zaniki pierwotnie zajmujące ośrodkowy układ nerwowy</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G23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choroby zwyrodnieniowe zwojów podstawnych</w:t>
            </w:r>
          </w:p>
          <w:p w:rsidR="004B30C2" w:rsidRPr="004B30C2" w:rsidRDefault="004B30C2" w:rsidP="004B30C2">
            <w:pPr>
              <w:spacing w:before="100" w:beforeAutospacing="1" w:after="100" w:afterAutospacing="1"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(w szczególności choroba </w:t>
            </w:r>
            <w:proofErr w:type="spellStart"/>
            <w:r w:rsidRPr="004B30C2">
              <w:rPr>
                <w:rFonts w:ascii="Arial" w:eastAsia="Times New Roman" w:hAnsi="Arial" w:cs="Arial"/>
                <w:sz w:val="24"/>
                <w:szCs w:val="24"/>
                <w:lang w:eastAsia="pl-PL"/>
              </w:rPr>
              <w:t>Hellervordena-Spatza</w:t>
            </w:r>
            <w:proofErr w:type="spellEnd"/>
            <w:r w:rsidRPr="004B30C2">
              <w:rPr>
                <w:rFonts w:ascii="Arial" w:eastAsia="Times New Roman" w:hAnsi="Arial" w:cs="Arial"/>
                <w:sz w:val="24"/>
                <w:szCs w:val="24"/>
                <w:lang w:eastAsia="pl-PL"/>
              </w:rPr>
              <w:t>)</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G70-G73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Choroby połączeń nerwowo-mięśniowych i mięśni (w szczególności G71.0 Dystrofia mięśniowa, w tym ciężka [</w:t>
            </w:r>
            <w:proofErr w:type="spellStart"/>
            <w:r w:rsidRPr="004B30C2">
              <w:rPr>
                <w:rFonts w:ascii="Arial" w:eastAsia="Times New Roman" w:hAnsi="Arial" w:cs="Arial"/>
                <w:sz w:val="24"/>
                <w:szCs w:val="24"/>
                <w:lang w:eastAsia="pl-PL"/>
              </w:rPr>
              <w:t>Duchenne’a</w:t>
            </w:r>
            <w:proofErr w:type="spellEnd"/>
            <w:r w:rsidRPr="004B30C2">
              <w:rPr>
                <w:rFonts w:ascii="Arial" w:eastAsia="Times New Roman" w:hAnsi="Arial" w:cs="Arial"/>
                <w:sz w:val="24"/>
                <w:szCs w:val="24"/>
                <w:lang w:eastAsia="pl-PL"/>
              </w:rPr>
              <w:t>], G71.2 Miopatie wrodzone, G71.3 Miopatia mitochondrialna niesklasyfikowana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29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G80-G83</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Mózgowe porażenie dziecięce i inne zespoły porażenne (w szczególności G80 Mózgowe porażenie dziecięce)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G90-G99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zaburzenia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I50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Niewydolność serca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I69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chorób naczyniowych mózgu</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J96.1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Przewlekła niewydolność oddechowa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K72</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Niewydolność wątroby, niesklasyfikowana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K74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Zwłóknienie i marskość wątroby</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N18.0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Schyłkowa niewydolność nerek</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P10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Uszkodzenie struktur śródczaszkowych i krwotok spowodowany urazem porodowym</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P11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porodowe urazy ośrodkowego układu nerwowego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39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P21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Zamartwica urodzeniowa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P27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Przewlekła choroba oddechowa rozpoczynająca się w okresie okołoporodowym (w szczególności P27.1 Dysplazja oskrzelowo-płucna rozpoczynająca się w okresie okołoporodowym)</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P35</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Wrodzone choroby wirusowe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P91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zaburzenia mózgowe noworodka (w szczególności P91.0 Niedokrwienie mózgu noworodkowe)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Q00-Q07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Wrodzone wady rozwojowe układu nerwowego (w szczególności Q03 Wodogłowie wrodzone, Q03.1 Zespół Dandy-Walkera, Q04.2 Przodomózgowie jednokomorowe - </w:t>
            </w:r>
            <w:proofErr w:type="spellStart"/>
            <w:r w:rsidRPr="004B30C2">
              <w:rPr>
                <w:rFonts w:ascii="Arial" w:eastAsia="Times New Roman" w:hAnsi="Arial" w:cs="Arial"/>
                <w:sz w:val="24"/>
                <w:szCs w:val="24"/>
                <w:lang w:eastAsia="pl-PL"/>
              </w:rPr>
              <w:t>holoprosencephalia</w:t>
            </w:r>
            <w:proofErr w:type="spellEnd"/>
            <w:r w:rsidRPr="004B30C2">
              <w:rPr>
                <w:rFonts w:ascii="Arial" w:eastAsia="Times New Roman" w:hAnsi="Arial" w:cs="Arial"/>
                <w:sz w:val="24"/>
                <w:szCs w:val="24"/>
                <w:lang w:eastAsia="pl-PL"/>
              </w:rPr>
              <w:t xml:space="preserve">, Q04.3 Inne wady mózgu z ubytkiem tkanek, np. </w:t>
            </w:r>
            <w:proofErr w:type="spellStart"/>
            <w:r w:rsidRPr="004B30C2">
              <w:rPr>
                <w:rFonts w:ascii="Arial" w:eastAsia="Times New Roman" w:hAnsi="Arial" w:cs="Arial"/>
                <w:sz w:val="24"/>
                <w:szCs w:val="24"/>
                <w:lang w:eastAsia="pl-PL"/>
              </w:rPr>
              <w:t>gładkomózgowie</w:t>
            </w:r>
            <w:proofErr w:type="spellEnd"/>
            <w:r w:rsidRPr="004B30C2">
              <w:rPr>
                <w:rFonts w:ascii="Arial" w:eastAsia="Times New Roman" w:hAnsi="Arial" w:cs="Arial"/>
                <w:sz w:val="24"/>
                <w:szCs w:val="24"/>
                <w:lang w:eastAsia="pl-PL"/>
              </w:rPr>
              <w:t xml:space="preserve"> - </w:t>
            </w:r>
            <w:proofErr w:type="spellStart"/>
            <w:r w:rsidRPr="004B30C2">
              <w:rPr>
                <w:rFonts w:ascii="Arial" w:eastAsia="Times New Roman" w:hAnsi="Arial" w:cs="Arial"/>
                <w:sz w:val="24"/>
                <w:szCs w:val="24"/>
                <w:lang w:eastAsia="pl-PL"/>
              </w:rPr>
              <w:t>lissencephalia</w:t>
            </w:r>
            <w:proofErr w:type="spellEnd"/>
            <w:r w:rsidRPr="004B30C2">
              <w:rPr>
                <w:rFonts w:ascii="Arial" w:eastAsia="Times New Roman" w:hAnsi="Arial" w:cs="Arial"/>
                <w:sz w:val="24"/>
                <w:szCs w:val="24"/>
                <w:lang w:eastAsia="pl-PL"/>
              </w:rPr>
              <w:t>, Q04.8 Inne określone wrodzone wady rozwojowe mózgu, Q04.9 Wrodzone wady rozwojowe mózgu, nieokreślone, Q05 Rozszczep kręgosłupa, Q05.0 Rozszczep kręgosłupa szyjnego ze współistniejącym wodogłowiem, Q05.2 Rozszczep kręgosłupa lędźwiowego ze współistniejącym wodogłowiem, Q07 Inne wrodzone wady rozwojowe układu nerwowego, Q07.0 Zespół Arnolda-</w:t>
            </w:r>
            <w:proofErr w:type="spellStart"/>
            <w:r w:rsidRPr="004B30C2">
              <w:rPr>
                <w:rFonts w:ascii="Arial" w:eastAsia="Times New Roman" w:hAnsi="Arial" w:cs="Arial"/>
                <w:sz w:val="24"/>
                <w:szCs w:val="24"/>
                <w:lang w:eastAsia="pl-PL"/>
              </w:rPr>
              <w:t>Chiariego</w:t>
            </w:r>
            <w:proofErr w:type="spellEnd"/>
            <w:r w:rsidRPr="004B30C2">
              <w:rPr>
                <w:rFonts w:ascii="Arial" w:eastAsia="Times New Roman" w:hAnsi="Arial" w:cs="Arial"/>
                <w:sz w:val="24"/>
                <w:szCs w:val="24"/>
                <w:lang w:eastAsia="pl-PL"/>
              </w:rPr>
              <w:t>)</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Q20-Q25</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Wrodzone wady rozwojowe serca i dużych naczyń - dotyczy dzieci niezakwalifikowanych do leczenia operacyjnego</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Q31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Wrodzone wady rozwojowe krtani</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Q32</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Wrodzone wady rozwojowe tchawicy i oskrzeli</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Q44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Wrodzone wady rozwojowe pęcherzyka żółciowego, przewodów żółciowych i wątroby (w szczególności Q44.2 Zarośnięcie przewodów żółciowych, Q44.7 Zespół </w:t>
            </w:r>
            <w:proofErr w:type="spellStart"/>
            <w:r w:rsidRPr="004B30C2">
              <w:rPr>
                <w:rFonts w:ascii="Arial" w:eastAsia="Times New Roman" w:hAnsi="Arial" w:cs="Arial"/>
                <w:sz w:val="24"/>
                <w:szCs w:val="24"/>
                <w:lang w:eastAsia="pl-PL"/>
              </w:rPr>
              <w:t>Alagille’a</w:t>
            </w:r>
            <w:proofErr w:type="spellEnd"/>
            <w:r w:rsidRPr="004B30C2">
              <w:rPr>
                <w:rFonts w:ascii="Arial" w:eastAsia="Times New Roman" w:hAnsi="Arial" w:cs="Arial"/>
                <w:sz w:val="24"/>
                <w:szCs w:val="24"/>
                <w:lang w:eastAsia="pl-PL"/>
              </w:rPr>
              <w:t>)</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48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Q60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Niewytworzenie się nerki i inne zaburzenia związane z niedorozwojem nerki (w </w:t>
            </w:r>
            <w:r w:rsidRPr="004B30C2">
              <w:rPr>
                <w:rFonts w:ascii="Arial" w:eastAsia="Times New Roman" w:hAnsi="Arial" w:cs="Arial"/>
                <w:sz w:val="24"/>
                <w:szCs w:val="24"/>
                <w:lang w:eastAsia="pl-PL"/>
              </w:rPr>
              <w:lastRenderedPageBreak/>
              <w:t>szczególności Q60.4 Niedorozwój nerek, obustronny)</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lastRenderedPageBreak/>
              <w:t>49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Q61.1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Wielotorbielowatość nerek, dziedziczona autosomalnie recesywnie</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Q77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Dysplazja kostno-chrzęstna z upośledzeniem wzrostu kości długich i kręgosłupa (w szczególności Q77.4 Achondroplazja - </w:t>
            </w:r>
            <w:proofErr w:type="spellStart"/>
            <w:r w:rsidRPr="004B30C2">
              <w:rPr>
                <w:rFonts w:ascii="Arial" w:eastAsia="Times New Roman" w:hAnsi="Arial" w:cs="Arial"/>
                <w:sz w:val="24"/>
                <w:szCs w:val="24"/>
                <w:lang w:eastAsia="pl-PL"/>
              </w:rPr>
              <w:t>chondrodystrofia</w:t>
            </w:r>
            <w:proofErr w:type="spellEnd"/>
            <w:r w:rsidRPr="004B30C2">
              <w:rPr>
                <w:rFonts w:ascii="Arial" w:eastAsia="Times New Roman" w:hAnsi="Arial" w:cs="Arial"/>
                <w:sz w:val="24"/>
                <w:szCs w:val="24"/>
                <w:lang w:eastAsia="pl-PL"/>
              </w:rPr>
              <w:t xml:space="preserve"> płodowa)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Q78</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 xml:space="preserve">Inne </w:t>
            </w:r>
            <w:proofErr w:type="spellStart"/>
            <w:r w:rsidRPr="004B30C2">
              <w:rPr>
                <w:rFonts w:ascii="Arial" w:eastAsia="Times New Roman" w:hAnsi="Arial" w:cs="Arial"/>
                <w:sz w:val="24"/>
                <w:szCs w:val="24"/>
                <w:lang w:eastAsia="pl-PL"/>
              </w:rPr>
              <w:t>osteochondrodysplazje</w:t>
            </w:r>
            <w:proofErr w:type="spellEnd"/>
            <w:r w:rsidRPr="004B30C2">
              <w:rPr>
                <w:rFonts w:ascii="Arial" w:eastAsia="Times New Roman" w:hAnsi="Arial" w:cs="Arial"/>
                <w:sz w:val="24"/>
                <w:szCs w:val="24"/>
                <w:lang w:eastAsia="pl-PL"/>
              </w:rPr>
              <w:t xml:space="preserve"> (w szczególności Q78.0 Kostnienie niedoskonałe - łamliwość kości wrodzona - </w:t>
            </w:r>
            <w:proofErr w:type="spellStart"/>
            <w:r w:rsidRPr="004B30C2">
              <w:rPr>
                <w:rFonts w:ascii="Arial" w:eastAsia="Times New Roman" w:hAnsi="Arial" w:cs="Arial"/>
                <w:sz w:val="24"/>
                <w:szCs w:val="24"/>
                <w:lang w:eastAsia="pl-PL"/>
              </w:rPr>
              <w:t>osteogenesis</w:t>
            </w:r>
            <w:proofErr w:type="spellEnd"/>
            <w:r w:rsidRPr="004B30C2">
              <w:rPr>
                <w:rFonts w:ascii="Arial" w:eastAsia="Times New Roman" w:hAnsi="Arial" w:cs="Arial"/>
                <w:sz w:val="24"/>
                <w:szCs w:val="24"/>
                <w:lang w:eastAsia="pl-PL"/>
              </w:rPr>
              <w:t xml:space="preserve"> imperfecta)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Q79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Wrodzone wady rozwojowe układu mięśniowo-szkieletowego, niesklasyfikowane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Q81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Pęcherzowe oddzielanie naskórka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Q85</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proofErr w:type="spellStart"/>
            <w:r w:rsidRPr="004B30C2">
              <w:rPr>
                <w:rFonts w:ascii="Arial" w:eastAsia="Times New Roman" w:hAnsi="Arial" w:cs="Arial"/>
                <w:sz w:val="24"/>
                <w:szCs w:val="24"/>
                <w:lang w:eastAsia="pl-PL"/>
              </w:rPr>
              <w:t>Fakomatozy</w:t>
            </w:r>
            <w:proofErr w:type="spellEnd"/>
            <w:r w:rsidRPr="004B30C2">
              <w:rPr>
                <w:rFonts w:ascii="Arial" w:eastAsia="Times New Roman" w:hAnsi="Arial" w:cs="Arial"/>
                <w:sz w:val="24"/>
                <w:szCs w:val="24"/>
                <w:lang w:eastAsia="pl-PL"/>
              </w:rPr>
              <w:t>, niesklasyfikowane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Q87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określone zespoły wrodzonych wad rozwojowych dotyczące wielu układów</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56</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Q89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Inne wrodzone wady rozwojowe niesklasyfikowane gdzie indziej (w szczególności Q89.7 Mnogie wrodzone wady rozwojowe niesklasyfikowane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57</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Q90-Q99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Aberracje chromosomowe, niesklasyfikowane gdzie indziej</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58</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R40.2</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Śpiączka, nieokreślona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59</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S06</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Uraz śródczaszkowy (w szczególności S06.7 Uraz śródczaszkowy z długotrwałym okresem nieprzytomności)</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60</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T90</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urazów głowy</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61</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T91</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urazów szyi i tułowia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62</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T94</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urazów obejmujących liczne okolice ciała i nieokreślone okolice ciała</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63</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T96</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zatrucia lekami, środkami farmakologicznymi i substancjami biologicznymi</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64</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T97</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toksycznych skutków działania substancji zazwyczaj niestosowanych w celach leczniczych</w:t>
            </w:r>
          </w:p>
        </w:tc>
      </w:tr>
      <w:tr w:rsidR="004B30C2" w:rsidRPr="004B30C2" w:rsidTr="004B30C2">
        <w:trPr>
          <w:tblCellSpacing w:w="15" w:type="dxa"/>
        </w:trPr>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65</w:t>
            </w:r>
            <w:r w:rsidR="00E33DCA" w:rsidRPr="00E33DCA">
              <w:rPr>
                <w:rFonts w:ascii="Arial" w:eastAsia="Times New Roman" w:hAnsi="Arial" w:cs="Arial"/>
                <w:sz w:val="24"/>
                <w:szCs w:val="24"/>
                <w:lang w:eastAsia="pl-PL"/>
              </w:rPr>
              <w:t>.</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Y85-Y89</w:t>
            </w:r>
          </w:p>
        </w:tc>
        <w:tc>
          <w:tcPr>
            <w:tcW w:w="0" w:type="auto"/>
            <w:vAlign w:val="center"/>
            <w:hideMark/>
          </w:tcPr>
          <w:p w:rsidR="004B30C2" w:rsidRPr="004B30C2" w:rsidRDefault="004B30C2" w:rsidP="004B30C2">
            <w:pPr>
              <w:spacing w:after="0" w:line="240" w:lineRule="auto"/>
              <w:rPr>
                <w:rFonts w:ascii="Arial" w:eastAsia="Times New Roman" w:hAnsi="Arial" w:cs="Arial"/>
                <w:sz w:val="24"/>
                <w:szCs w:val="24"/>
                <w:lang w:eastAsia="pl-PL"/>
              </w:rPr>
            </w:pPr>
            <w:r w:rsidRPr="004B30C2">
              <w:rPr>
                <w:rFonts w:ascii="Arial" w:eastAsia="Times New Roman" w:hAnsi="Arial" w:cs="Arial"/>
                <w:sz w:val="24"/>
                <w:szCs w:val="24"/>
                <w:lang w:eastAsia="pl-PL"/>
              </w:rPr>
              <w:t>Następstwa zewnętrznych przyczyn zachorowania i zgonu (w szczególności Y85 Następstwa wypadków komunikacyjnych, Y87.0 Następstwa zamierzonego samouszkodzenia, Y88.0 Następstwa niekorzystnego działania leku, środka farmakologicznego i substancji biologicznej zastosowanych do celów leczniczych, Y88.1 Następstwa wypadku pacjenta w trakcie zabiegów chirurgicznych i medycznych, Y89 Następstwa działania innych przyczyn zewnętrznych)</w:t>
            </w:r>
          </w:p>
        </w:tc>
      </w:tr>
    </w:tbl>
    <w:p w:rsidR="00C12D3B" w:rsidRPr="005F76E5" w:rsidRDefault="00C12D3B" w:rsidP="005F76E5">
      <w:pPr>
        <w:rPr>
          <w:rFonts w:ascii="Arial" w:eastAsia="Calibri" w:hAnsi="Arial" w:cs="Arial"/>
          <w:b/>
          <w:sz w:val="24"/>
          <w:szCs w:val="24"/>
        </w:rPr>
      </w:pP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Hospicjum przyjmuje głównie chorych w końcowej fazie choroby nowotworowej (i innych o podobnym przebiegu, kiedy leczenie przyczynowe (radio- i chemioterapia) nie przyniosło skutku lub nie jest możliwe ze względu na zaawansowanie choroby.</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Ostateczną decyzję o objęciu pacjenta leczeniem w hospicjum podejmuje lekarz hospicjum,</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po zapoznaniu się z dostarczoną dokumentacją medyczną i przeprowadzeniem rozmowy</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z opiekunem chorego.</w:t>
      </w:r>
    </w:p>
    <w:p w:rsidR="005F76E5" w:rsidRPr="005F76E5" w:rsidRDefault="005F76E5" w:rsidP="005F76E5">
      <w:pPr>
        <w:rPr>
          <w:rFonts w:ascii="Arial" w:eastAsia="Calibri" w:hAnsi="Arial" w:cs="Arial"/>
          <w:sz w:val="24"/>
          <w:szCs w:val="24"/>
          <w:u w:val="single"/>
        </w:rPr>
      </w:pPr>
      <w:r w:rsidRPr="005F76E5">
        <w:rPr>
          <w:rFonts w:ascii="Arial" w:eastAsia="Calibri" w:hAnsi="Arial" w:cs="Arial"/>
          <w:sz w:val="24"/>
          <w:szCs w:val="24"/>
          <w:u w:val="single"/>
        </w:rPr>
        <w:lastRenderedPageBreak/>
        <w:t>Dokumenty wymagane do przyjęcia: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skierowanie,</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orzeczenie o stopniu niepełnosprawności jeżeli posiada,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zgoda chorego </w:t>
      </w:r>
      <w:r w:rsidR="00E33DCA">
        <w:rPr>
          <w:rFonts w:ascii="Arial" w:eastAsia="Calibri" w:hAnsi="Arial" w:cs="Arial"/>
          <w:sz w:val="24"/>
          <w:szCs w:val="24"/>
        </w:rPr>
        <w:t xml:space="preserve">lub opiekuna ustawowego </w:t>
      </w:r>
      <w:r w:rsidRPr="005F76E5">
        <w:rPr>
          <w:rFonts w:ascii="Arial" w:eastAsia="Calibri" w:hAnsi="Arial" w:cs="Arial"/>
          <w:sz w:val="24"/>
          <w:szCs w:val="24"/>
        </w:rPr>
        <w:t>na leczenie,</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upoważnienia </w:t>
      </w:r>
      <w:r w:rsidR="005235A5">
        <w:rPr>
          <w:rFonts w:ascii="Arial" w:eastAsia="Calibri" w:hAnsi="Arial" w:cs="Arial"/>
          <w:sz w:val="24"/>
          <w:szCs w:val="24"/>
        </w:rPr>
        <w:t>do dostępu do dokumentacji medycznej i uzyskiwania informacji o stanie zdrowia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w:t>
      </w:r>
      <w:r w:rsidR="00DD66D1" w:rsidRPr="00C12D3B">
        <w:rPr>
          <w:rFonts w:ascii="Arial" w:eastAsia="Calibri" w:hAnsi="Arial" w:cs="Arial"/>
          <w:sz w:val="24"/>
          <w:szCs w:val="24"/>
        </w:rPr>
        <w:t>Nr PESEL</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legitymacja emeryta/rencisty lub inny dokument potwierdzający prawo do świadczeń zdrowotnych finansowanych ze środków publicznych</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 xml:space="preserve"> kopie kart informacyjnych z dotychczasowego leczenia.</w:t>
      </w:r>
    </w:p>
    <w:p w:rsidR="005F76E5" w:rsidRPr="005F76E5" w:rsidRDefault="005F76E5" w:rsidP="005F76E5">
      <w:pPr>
        <w:rPr>
          <w:rFonts w:ascii="Arial" w:eastAsia="Calibri" w:hAnsi="Arial" w:cs="Arial"/>
          <w:sz w:val="24"/>
          <w:szCs w:val="24"/>
        </w:rPr>
      </w:pPr>
      <w:r w:rsidRPr="005F76E5">
        <w:rPr>
          <w:rFonts w:ascii="Arial" w:eastAsia="Calibri" w:hAnsi="Arial" w:cs="Arial"/>
          <w:sz w:val="24"/>
          <w:szCs w:val="24"/>
        </w:rPr>
        <w:t>Głównym celem działań podejmowanych w hospicjum jest podniesienie i utrzymanie dobrej jakości życia chorych. Hospicja kierują się zasadą nieuchronności śmierci. Nie stosuje się uporczywej terapii, której celem jest wydłużenie życia pacjenta za wszelką cenę. Nie prowadzi się diagnostyki w celu oceny postępu choroby. Leczenie skupia się na kontrolowaniu uciążliwych objawów somatycznych i psychicznych. W hospicjum nie wydłuża się za wszelką cenę, ani nie skraca życia chorego.</w:t>
      </w:r>
    </w:p>
    <w:p w:rsidR="005F76E5" w:rsidRPr="005F76E5" w:rsidRDefault="005F76E5" w:rsidP="005F76E5">
      <w:pPr>
        <w:rPr>
          <w:rFonts w:ascii="Arial" w:eastAsia="Calibri" w:hAnsi="Arial" w:cs="Arial"/>
          <w:sz w:val="24"/>
          <w:szCs w:val="24"/>
        </w:rPr>
      </w:pPr>
    </w:p>
    <w:p w:rsidR="005F76E5" w:rsidRPr="005F76E5" w:rsidRDefault="005F76E5" w:rsidP="005F76E5">
      <w:pPr>
        <w:rPr>
          <w:rFonts w:ascii="Arial" w:eastAsia="Calibri" w:hAnsi="Arial" w:cs="Arial"/>
          <w:sz w:val="24"/>
          <w:szCs w:val="24"/>
        </w:rPr>
      </w:pPr>
    </w:p>
    <w:p w:rsidR="005F76E5" w:rsidRPr="00C12D3B" w:rsidRDefault="005F76E5">
      <w:pPr>
        <w:rPr>
          <w:sz w:val="24"/>
          <w:szCs w:val="24"/>
        </w:rPr>
      </w:pPr>
    </w:p>
    <w:sectPr w:rsidR="005F76E5" w:rsidRPr="00C12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6E5"/>
    <w:rsid w:val="000B6160"/>
    <w:rsid w:val="004B30C2"/>
    <w:rsid w:val="005235A5"/>
    <w:rsid w:val="005F76E5"/>
    <w:rsid w:val="009A3F92"/>
    <w:rsid w:val="00C12D3B"/>
    <w:rsid w:val="00DD66D1"/>
    <w:rsid w:val="00E33DCA"/>
    <w:rsid w:val="00FD6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5124">
      <w:bodyDiv w:val="1"/>
      <w:marLeft w:val="0"/>
      <w:marRight w:val="0"/>
      <w:marTop w:val="0"/>
      <w:marBottom w:val="0"/>
      <w:divBdr>
        <w:top w:val="none" w:sz="0" w:space="0" w:color="auto"/>
        <w:left w:val="none" w:sz="0" w:space="0" w:color="auto"/>
        <w:bottom w:val="none" w:sz="0" w:space="0" w:color="auto"/>
        <w:right w:val="none" w:sz="0" w:space="0" w:color="auto"/>
      </w:divBdr>
      <w:divsChild>
        <w:div w:id="1430155017">
          <w:marLeft w:val="0"/>
          <w:marRight w:val="0"/>
          <w:marTop w:val="0"/>
          <w:marBottom w:val="0"/>
          <w:divBdr>
            <w:top w:val="none" w:sz="0" w:space="0" w:color="auto"/>
            <w:left w:val="none" w:sz="0" w:space="0" w:color="auto"/>
            <w:bottom w:val="none" w:sz="0" w:space="0" w:color="auto"/>
            <w:right w:val="none" w:sz="0" w:space="0" w:color="auto"/>
          </w:divBdr>
          <w:divsChild>
            <w:div w:id="1859154584">
              <w:marLeft w:val="0"/>
              <w:marRight w:val="0"/>
              <w:marTop w:val="0"/>
              <w:marBottom w:val="0"/>
              <w:divBdr>
                <w:top w:val="none" w:sz="0" w:space="0" w:color="auto"/>
                <w:left w:val="none" w:sz="0" w:space="0" w:color="auto"/>
                <w:bottom w:val="none" w:sz="0" w:space="0" w:color="auto"/>
                <w:right w:val="none" w:sz="0" w:space="0" w:color="auto"/>
              </w:divBdr>
            </w:div>
          </w:divsChild>
        </w:div>
        <w:div w:id="88820700">
          <w:marLeft w:val="0"/>
          <w:marRight w:val="0"/>
          <w:marTop w:val="0"/>
          <w:marBottom w:val="0"/>
          <w:divBdr>
            <w:top w:val="none" w:sz="0" w:space="0" w:color="auto"/>
            <w:left w:val="none" w:sz="0" w:space="0" w:color="auto"/>
            <w:bottom w:val="none" w:sz="0" w:space="0" w:color="auto"/>
            <w:right w:val="none" w:sz="0" w:space="0" w:color="auto"/>
          </w:divBdr>
          <w:divsChild>
            <w:div w:id="1635065104">
              <w:marLeft w:val="0"/>
              <w:marRight w:val="0"/>
              <w:marTop w:val="0"/>
              <w:marBottom w:val="0"/>
              <w:divBdr>
                <w:top w:val="none" w:sz="0" w:space="0" w:color="auto"/>
                <w:left w:val="none" w:sz="0" w:space="0" w:color="auto"/>
                <w:bottom w:val="none" w:sz="0" w:space="0" w:color="auto"/>
                <w:right w:val="none" w:sz="0" w:space="0" w:color="auto"/>
              </w:divBdr>
            </w:div>
          </w:divsChild>
        </w:div>
        <w:div w:id="2113164017">
          <w:marLeft w:val="0"/>
          <w:marRight w:val="0"/>
          <w:marTop w:val="0"/>
          <w:marBottom w:val="0"/>
          <w:divBdr>
            <w:top w:val="none" w:sz="0" w:space="0" w:color="auto"/>
            <w:left w:val="none" w:sz="0" w:space="0" w:color="auto"/>
            <w:bottom w:val="none" w:sz="0" w:space="0" w:color="auto"/>
            <w:right w:val="none" w:sz="0" w:space="0" w:color="auto"/>
          </w:divBdr>
          <w:divsChild>
            <w:div w:id="1277055866">
              <w:marLeft w:val="0"/>
              <w:marRight w:val="0"/>
              <w:marTop w:val="0"/>
              <w:marBottom w:val="0"/>
              <w:divBdr>
                <w:top w:val="none" w:sz="0" w:space="0" w:color="auto"/>
                <w:left w:val="none" w:sz="0" w:space="0" w:color="auto"/>
                <w:bottom w:val="none" w:sz="0" w:space="0" w:color="auto"/>
                <w:right w:val="none" w:sz="0" w:space="0" w:color="auto"/>
              </w:divBdr>
            </w:div>
          </w:divsChild>
        </w:div>
        <w:div w:id="1546410264">
          <w:marLeft w:val="0"/>
          <w:marRight w:val="0"/>
          <w:marTop w:val="0"/>
          <w:marBottom w:val="0"/>
          <w:divBdr>
            <w:top w:val="none" w:sz="0" w:space="0" w:color="auto"/>
            <w:left w:val="none" w:sz="0" w:space="0" w:color="auto"/>
            <w:bottom w:val="none" w:sz="0" w:space="0" w:color="auto"/>
            <w:right w:val="none" w:sz="0" w:space="0" w:color="auto"/>
          </w:divBdr>
          <w:divsChild>
            <w:div w:id="446630375">
              <w:marLeft w:val="0"/>
              <w:marRight w:val="0"/>
              <w:marTop w:val="0"/>
              <w:marBottom w:val="0"/>
              <w:divBdr>
                <w:top w:val="none" w:sz="0" w:space="0" w:color="auto"/>
                <w:left w:val="none" w:sz="0" w:space="0" w:color="auto"/>
                <w:bottom w:val="none" w:sz="0" w:space="0" w:color="auto"/>
                <w:right w:val="none" w:sz="0" w:space="0" w:color="auto"/>
              </w:divBdr>
            </w:div>
          </w:divsChild>
        </w:div>
        <w:div w:id="428937995">
          <w:marLeft w:val="0"/>
          <w:marRight w:val="0"/>
          <w:marTop w:val="0"/>
          <w:marBottom w:val="0"/>
          <w:divBdr>
            <w:top w:val="none" w:sz="0" w:space="0" w:color="auto"/>
            <w:left w:val="none" w:sz="0" w:space="0" w:color="auto"/>
            <w:bottom w:val="none" w:sz="0" w:space="0" w:color="auto"/>
            <w:right w:val="none" w:sz="0" w:space="0" w:color="auto"/>
          </w:divBdr>
          <w:divsChild>
            <w:div w:id="508913198">
              <w:marLeft w:val="0"/>
              <w:marRight w:val="0"/>
              <w:marTop w:val="0"/>
              <w:marBottom w:val="0"/>
              <w:divBdr>
                <w:top w:val="none" w:sz="0" w:space="0" w:color="auto"/>
                <w:left w:val="none" w:sz="0" w:space="0" w:color="auto"/>
                <w:bottom w:val="none" w:sz="0" w:space="0" w:color="auto"/>
                <w:right w:val="none" w:sz="0" w:space="0" w:color="auto"/>
              </w:divBdr>
            </w:div>
          </w:divsChild>
        </w:div>
        <w:div w:id="382171686">
          <w:marLeft w:val="0"/>
          <w:marRight w:val="0"/>
          <w:marTop w:val="0"/>
          <w:marBottom w:val="0"/>
          <w:divBdr>
            <w:top w:val="none" w:sz="0" w:space="0" w:color="auto"/>
            <w:left w:val="none" w:sz="0" w:space="0" w:color="auto"/>
            <w:bottom w:val="none" w:sz="0" w:space="0" w:color="auto"/>
            <w:right w:val="none" w:sz="0" w:space="0" w:color="auto"/>
          </w:divBdr>
          <w:divsChild>
            <w:div w:id="408771975">
              <w:marLeft w:val="0"/>
              <w:marRight w:val="0"/>
              <w:marTop w:val="0"/>
              <w:marBottom w:val="0"/>
              <w:divBdr>
                <w:top w:val="none" w:sz="0" w:space="0" w:color="auto"/>
                <w:left w:val="none" w:sz="0" w:space="0" w:color="auto"/>
                <w:bottom w:val="none" w:sz="0" w:space="0" w:color="auto"/>
                <w:right w:val="none" w:sz="0" w:space="0" w:color="auto"/>
              </w:divBdr>
            </w:div>
          </w:divsChild>
        </w:div>
        <w:div w:id="879977656">
          <w:marLeft w:val="0"/>
          <w:marRight w:val="0"/>
          <w:marTop w:val="0"/>
          <w:marBottom w:val="0"/>
          <w:divBdr>
            <w:top w:val="none" w:sz="0" w:space="0" w:color="auto"/>
            <w:left w:val="none" w:sz="0" w:space="0" w:color="auto"/>
            <w:bottom w:val="none" w:sz="0" w:space="0" w:color="auto"/>
            <w:right w:val="none" w:sz="0" w:space="0" w:color="auto"/>
          </w:divBdr>
          <w:divsChild>
            <w:div w:id="10587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692">
      <w:bodyDiv w:val="1"/>
      <w:marLeft w:val="0"/>
      <w:marRight w:val="0"/>
      <w:marTop w:val="0"/>
      <w:marBottom w:val="0"/>
      <w:divBdr>
        <w:top w:val="none" w:sz="0" w:space="0" w:color="auto"/>
        <w:left w:val="none" w:sz="0" w:space="0" w:color="auto"/>
        <w:bottom w:val="none" w:sz="0" w:space="0" w:color="auto"/>
        <w:right w:val="none" w:sz="0" w:space="0" w:color="auto"/>
      </w:divBdr>
      <w:divsChild>
        <w:div w:id="1479104793">
          <w:marLeft w:val="0"/>
          <w:marRight w:val="0"/>
          <w:marTop w:val="0"/>
          <w:marBottom w:val="0"/>
          <w:divBdr>
            <w:top w:val="none" w:sz="0" w:space="0" w:color="auto"/>
            <w:left w:val="none" w:sz="0" w:space="0" w:color="auto"/>
            <w:bottom w:val="none" w:sz="0" w:space="0" w:color="auto"/>
            <w:right w:val="none" w:sz="0" w:space="0" w:color="auto"/>
          </w:divBdr>
          <w:divsChild>
            <w:div w:id="2072341170">
              <w:marLeft w:val="0"/>
              <w:marRight w:val="0"/>
              <w:marTop w:val="0"/>
              <w:marBottom w:val="0"/>
              <w:divBdr>
                <w:top w:val="none" w:sz="0" w:space="0" w:color="auto"/>
                <w:left w:val="none" w:sz="0" w:space="0" w:color="auto"/>
                <w:bottom w:val="none" w:sz="0" w:space="0" w:color="auto"/>
                <w:right w:val="none" w:sz="0" w:space="0" w:color="auto"/>
              </w:divBdr>
            </w:div>
          </w:divsChild>
        </w:div>
        <w:div w:id="1773436331">
          <w:marLeft w:val="0"/>
          <w:marRight w:val="0"/>
          <w:marTop w:val="0"/>
          <w:marBottom w:val="0"/>
          <w:divBdr>
            <w:top w:val="none" w:sz="0" w:space="0" w:color="auto"/>
            <w:left w:val="none" w:sz="0" w:space="0" w:color="auto"/>
            <w:bottom w:val="none" w:sz="0" w:space="0" w:color="auto"/>
            <w:right w:val="none" w:sz="0" w:space="0" w:color="auto"/>
          </w:divBdr>
          <w:divsChild>
            <w:div w:id="4606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58791">
      <w:bodyDiv w:val="1"/>
      <w:marLeft w:val="0"/>
      <w:marRight w:val="0"/>
      <w:marTop w:val="0"/>
      <w:marBottom w:val="0"/>
      <w:divBdr>
        <w:top w:val="none" w:sz="0" w:space="0" w:color="auto"/>
        <w:left w:val="none" w:sz="0" w:space="0" w:color="auto"/>
        <w:bottom w:val="none" w:sz="0" w:space="0" w:color="auto"/>
        <w:right w:val="none" w:sz="0" w:space="0" w:color="auto"/>
      </w:divBdr>
    </w:div>
    <w:div w:id="1544710869">
      <w:bodyDiv w:val="1"/>
      <w:marLeft w:val="0"/>
      <w:marRight w:val="0"/>
      <w:marTop w:val="0"/>
      <w:marBottom w:val="0"/>
      <w:divBdr>
        <w:top w:val="none" w:sz="0" w:space="0" w:color="auto"/>
        <w:left w:val="none" w:sz="0" w:space="0" w:color="auto"/>
        <w:bottom w:val="none" w:sz="0" w:space="0" w:color="auto"/>
        <w:right w:val="none" w:sz="0" w:space="0" w:color="auto"/>
      </w:divBdr>
      <w:divsChild>
        <w:div w:id="2116823349">
          <w:marLeft w:val="0"/>
          <w:marRight w:val="0"/>
          <w:marTop w:val="0"/>
          <w:marBottom w:val="0"/>
          <w:divBdr>
            <w:top w:val="none" w:sz="0" w:space="0" w:color="auto"/>
            <w:left w:val="none" w:sz="0" w:space="0" w:color="auto"/>
            <w:bottom w:val="none" w:sz="0" w:space="0" w:color="auto"/>
            <w:right w:val="none" w:sz="0" w:space="0" w:color="auto"/>
          </w:divBdr>
          <w:divsChild>
            <w:div w:id="942036163">
              <w:marLeft w:val="0"/>
              <w:marRight w:val="0"/>
              <w:marTop w:val="0"/>
              <w:marBottom w:val="0"/>
              <w:divBdr>
                <w:top w:val="none" w:sz="0" w:space="0" w:color="auto"/>
                <w:left w:val="none" w:sz="0" w:space="0" w:color="auto"/>
                <w:bottom w:val="none" w:sz="0" w:space="0" w:color="auto"/>
                <w:right w:val="none" w:sz="0" w:space="0" w:color="auto"/>
              </w:divBdr>
              <w:divsChild>
                <w:div w:id="493111753">
                  <w:marLeft w:val="0"/>
                  <w:marRight w:val="0"/>
                  <w:marTop w:val="0"/>
                  <w:marBottom w:val="0"/>
                  <w:divBdr>
                    <w:top w:val="none" w:sz="0" w:space="0" w:color="auto"/>
                    <w:left w:val="none" w:sz="0" w:space="0" w:color="auto"/>
                    <w:bottom w:val="none" w:sz="0" w:space="0" w:color="auto"/>
                    <w:right w:val="none" w:sz="0" w:space="0" w:color="auto"/>
                  </w:divBdr>
                </w:div>
              </w:divsChild>
            </w:div>
            <w:div w:id="248778830">
              <w:marLeft w:val="0"/>
              <w:marRight w:val="0"/>
              <w:marTop w:val="0"/>
              <w:marBottom w:val="0"/>
              <w:divBdr>
                <w:top w:val="none" w:sz="0" w:space="0" w:color="auto"/>
                <w:left w:val="none" w:sz="0" w:space="0" w:color="auto"/>
                <w:bottom w:val="none" w:sz="0" w:space="0" w:color="auto"/>
                <w:right w:val="none" w:sz="0" w:space="0" w:color="auto"/>
              </w:divBdr>
              <w:divsChild>
                <w:div w:id="1423835426">
                  <w:marLeft w:val="0"/>
                  <w:marRight w:val="0"/>
                  <w:marTop w:val="0"/>
                  <w:marBottom w:val="0"/>
                  <w:divBdr>
                    <w:top w:val="none" w:sz="0" w:space="0" w:color="auto"/>
                    <w:left w:val="none" w:sz="0" w:space="0" w:color="auto"/>
                    <w:bottom w:val="none" w:sz="0" w:space="0" w:color="auto"/>
                    <w:right w:val="none" w:sz="0" w:space="0" w:color="auto"/>
                  </w:divBdr>
                </w:div>
              </w:divsChild>
            </w:div>
            <w:div w:id="1854803075">
              <w:marLeft w:val="0"/>
              <w:marRight w:val="0"/>
              <w:marTop w:val="0"/>
              <w:marBottom w:val="0"/>
              <w:divBdr>
                <w:top w:val="none" w:sz="0" w:space="0" w:color="auto"/>
                <w:left w:val="none" w:sz="0" w:space="0" w:color="auto"/>
                <w:bottom w:val="none" w:sz="0" w:space="0" w:color="auto"/>
                <w:right w:val="none" w:sz="0" w:space="0" w:color="auto"/>
              </w:divBdr>
              <w:divsChild>
                <w:div w:id="143200113">
                  <w:marLeft w:val="0"/>
                  <w:marRight w:val="0"/>
                  <w:marTop w:val="0"/>
                  <w:marBottom w:val="0"/>
                  <w:divBdr>
                    <w:top w:val="none" w:sz="0" w:space="0" w:color="auto"/>
                    <w:left w:val="none" w:sz="0" w:space="0" w:color="auto"/>
                    <w:bottom w:val="none" w:sz="0" w:space="0" w:color="auto"/>
                    <w:right w:val="none" w:sz="0" w:space="0" w:color="auto"/>
                  </w:divBdr>
                </w:div>
              </w:divsChild>
            </w:div>
            <w:div w:id="2018145006">
              <w:marLeft w:val="0"/>
              <w:marRight w:val="0"/>
              <w:marTop w:val="0"/>
              <w:marBottom w:val="0"/>
              <w:divBdr>
                <w:top w:val="none" w:sz="0" w:space="0" w:color="auto"/>
                <w:left w:val="none" w:sz="0" w:space="0" w:color="auto"/>
                <w:bottom w:val="none" w:sz="0" w:space="0" w:color="auto"/>
                <w:right w:val="none" w:sz="0" w:space="0" w:color="auto"/>
              </w:divBdr>
              <w:divsChild>
                <w:div w:id="219092860">
                  <w:marLeft w:val="0"/>
                  <w:marRight w:val="0"/>
                  <w:marTop w:val="0"/>
                  <w:marBottom w:val="0"/>
                  <w:divBdr>
                    <w:top w:val="none" w:sz="0" w:space="0" w:color="auto"/>
                    <w:left w:val="none" w:sz="0" w:space="0" w:color="auto"/>
                    <w:bottom w:val="none" w:sz="0" w:space="0" w:color="auto"/>
                    <w:right w:val="none" w:sz="0" w:space="0" w:color="auto"/>
                  </w:divBdr>
                </w:div>
              </w:divsChild>
            </w:div>
            <w:div w:id="1910382627">
              <w:marLeft w:val="0"/>
              <w:marRight w:val="0"/>
              <w:marTop w:val="0"/>
              <w:marBottom w:val="0"/>
              <w:divBdr>
                <w:top w:val="none" w:sz="0" w:space="0" w:color="auto"/>
                <w:left w:val="none" w:sz="0" w:space="0" w:color="auto"/>
                <w:bottom w:val="none" w:sz="0" w:space="0" w:color="auto"/>
                <w:right w:val="none" w:sz="0" w:space="0" w:color="auto"/>
              </w:divBdr>
              <w:divsChild>
                <w:div w:id="1238439860">
                  <w:marLeft w:val="0"/>
                  <w:marRight w:val="0"/>
                  <w:marTop w:val="0"/>
                  <w:marBottom w:val="0"/>
                  <w:divBdr>
                    <w:top w:val="none" w:sz="0" w:space="0" w:color="auto"/>
                    <w:left w:val="none" w:sz="0" w:space="0" w:color="auto"/>
                    <w:bottom w:val="none" w:sz="0" w:space="0" w:color="auto"/>
                    <w:right w:val="none" w:sz="0" w:space="0" w:color="auto"/>
                  </w:divBdr>
                </w:div>
              </w:divsChild>
            </w:div>
            <w:div w:id="1214081789">
              <w:marLeft w:val="0"/>
              <w:marRight w:val="0"/>
              <w:marTop w:val="0"/>
              <w:marBottom w:val="0"/>
              <w:divBdr>
                <w:top w:val="none" w:sz="0" w:space="0" w:color="auto"/>
                <w:left w:val="none" w:sz="0" w:space="0" w:color="auto"/>
                <w:bottom w:val="none" w:sz="0" w:space="0" w:color="auto"/>
                <w:right w:val="none" w:sz="0" w:space="0" w:color="auto"/>
              </w:divBdr>
              <w:divsChild>
                <w:div w:id="1772898051">
                  <w:marLeft w:val="0"/>
                  <w:marRight w:val="0"/>
                  <w:marTop w:val="0"/>
                  <w:marBottom w:val="0"/>
                  <w:divBdr>
                    <w:top w:val="none" w:sz="0" w:space="0" w:color="auto"/>
                    <w:left w:val="none" w:sz="0" w:space="0" w:color="auto"/>
                    <w:bottom w:val="none" w:sz="0" w:space="0" w:color="auto"/>
                    <w:right w:val="none" w:sz="0" w:space="0" w:color="auto"/>
                  </w:divBdr>
                </w:div>
              </w:divsChild>
            </w:div>
            <w:div w:id="596064815">
              <w:marLeft w:val="0"/>
              <w:marRight w:val="0"/>
              <w:marTop w:val="0"/>
              <w:marBottom w:val="0"/>
              <w:divBdr>
                <w:top w:val="none" w:sz="0" w:space="0" w:color="auto"/>
                <w:left w:val="none" w:sz="0" w:space="0" w:color="auto"/>
                <w:bottom w:val="none" w:sz="0" w:space="0" w:color="auto"/>
                <w:right w:val="none" w:sz="0" w:space="0" w:color="auto"/>
              </w:divBdr>
              <w:divsChild>
                <w:div w:id="590695991">
                  <w:marLeft w:val="0"/>
                  <w:marRight w:val="0"/>
                  <w:marTop w:val="0"/>
                  <w:marBottom w:val="0"/>
                  <w:divBdr>
                    <w:top w:val="none" w:sz="0" w:space="0" w:color="auto"/>
                    <w:left w:val="none" w:sz="0" w:space="0" w:color="auto"/>
                    <w:bottom w:val="none" w:sz="0" w:space="0" w:color="auto"/>
                    <w:right w:val="none" w:sz="0" w:space="0" w:color="auto"/>
                  </w:divBdr>
                </w:div>
              </w:divsChild>
            </w:div>
            <w:div w:id="1403723902">
              <w:marLeft w:val="0"/>
              <w:marRight w:val="0"/>
              <w:marTop w:val="0"/>
              <w:marBottom w:val="0"/>
              <w:divBdr>
                <w:top w:val="none" w:sz="0" w:space="0" w:color="auto"/>
                <w:left w:val="none" w:sz="0" w:space="0" w:color="auto"/>
                <w:bottom w:val="none" w:sz="0" w:space="0" w:color="auto"/>
                <w:right w:val="none" w:sz="0" w:space="0" w:color="auto"/>
              </w:divBdr>
              <w:divsChild>
                <w:div w:id="951517930">
                  <w:marLeft w:val="0"/>
                  <w:marRight w:val="0"/>
                  <w:marTop w:val="0"/>
                  <w:marBottom w:val="0"/>
                  <w:divBdr>
                    <w:top w:val="none" w:sz="0" w:space="0" w:color="auto"/>
                    <w:left w:val="none" w:sz="0" w:space="0" w:color="auto"/>
                    <w:bottom w:val="none" w:sz="0" w:space="0" w:color="auto"/>
                    <w:right w:val="none" w:sz="0" w:space="0" w:color="auto"/>
                  </w:divBdr>
                </w:div>
              </w:divsChild>
            </w:div>
            <w:div w:id="2124497689">
              <w:marLeft w:val="0"/>
              <w:marRight w:val="0"/>
              <w:marTop w:val="0"/>
              <w:marBottom w:val="0"/>
              <w:divBdr>
                <w:top w:val="none" w:sz="0" w:space="0" w:color="auto"/>
                <w:left w:val="none" w:sz="0" w:space="0" w:color="auto"/>
                <w:bottom w:val="none" w:sz="0" w:space="0" w:color="auto"/>
                <w:right w:val="none" w:sz="0" w:space="0" w:color="auto"/>
              </w:divBdr>
              <w:divsChild>
                <w:div w:id="271209167">
                  <w:marLeft w:val="0"/>
                  <w:marRight w:val="0"/>
                  <w:marTop w:val="0"/>
                  <w:marBottom w:val="0"/>
                  <w:divBdr>
                    <w:top w:val="none" w:sz="0" w:space="0" w:color="auto"/>
                    <w:left w:val="none" w:sz="0" w:space="0" w:color="auto"/>
                    <w:bottom w:val="none" w:sz="0" w:space="0" w:color="auto"/>
                    <w:right w:val="none" w:sz="0" w:space="0" w:color="auto"/>
                  </w:divBdr>
                </w:div>
              </w:divsChild>
            </w:div>
            <w:div w:id="505747826">
              <w:marLeft w:val="0"/>
              <w:marRight w:val="0"/>
              <w:marTop w:val="0"/>
              <w:marBottom w:val="0"/>
              <w:divBdr>
                <w:top w:val="none" w:sz="0" w:space="0" w:color="auto"/>
                <w:left w:val="none" w:sz="0" w:space="0" w:color="auto"/>
                <w:bottom w:val="none" w:sz="0" w:space="0" w:color="auto"/>
                <w:right w:val="none" w:sz="0" w:space="0" w:color="auto"/>
              </w:divBdr>
              <w:divsChild>
                <w:div w:id="918096267">
                  <w:marLeft w:val="0"/>
                  <w:marRight w:val="0"/>
                  <w:marTop w:val="0"/>
                  <w:marBottom w:val="0"/>
                  <w:divBdr>
                    <w:top w:val="none" w:sz="0" w:space="0" w:color="auto"/>
                    <w:left w:val="none" w:sz="0" w:space="0" w:color="auto"/>
                    <w:bottom w:val="none" w:sz="0" w:space="0" w:color="auto"/>
                    <w:right w:val="none" w:sz="0" w:space="0" w:color="auto"/>
                  </w:divBdr>
                </w:div>
              </w:divsChild>
            </w:div>
            <w:div w:id="363141386">
              <w:marLeft w:val="0"/>
              <w:marRight w:val="0"/>
              <w:marTop w:val="0"/>
              <w:marBottom w:val="0"/>
              <w:divBdr>
                <w:top w:val="none" w:sz="0" w:space="0" w:color="auto"/>
                <w:left w:val="none" w:sz="0" w:space="0" w:color="auto"/>
                <w:bottom w:val="none" w:sz="0" w:space="0" w:color="auto"/>
                <w:right w:val="none" w:sz="0" w:space="0" w:color="auto"/>
              </w:divBdr>
              <w:divsChild>
                <w:div w:id="1238248114">
                  <w:marLeft w:val="0"/>
                  <w:marRight w:val="0"/>
                  <w:marTop w:val="0"/>
                  <w:marBottom w:val="0"/>
                  <w:divBdr>
                    <w:top w:val="none" w:sz="0" w:space="0" w:color="auto"/>
                    <w:left w:val="none" w:sz="0" w:space="0" w:color="auto"/>
                    <w:bottom w:val="none" w:sz="0" w:space="0" w:color="auto"/>
                    <w:right w:val="none" w:sz="0" w:space="0" w:color="auto"/>
                  </w:divBdr>
                </w:div>
              </w:divsChild>
            </w:div>
            <w:div w:id="360397026">
              <w:marLeft w:val="0"/>
              <w:marRight w:val="0"/>
              <w:marTop w:val="0"/>
              <w:marBottom w:val="0"/>
              <w:divBdr>
                <w:top w:val="none" w:sz="0" w:space="0" w:color="auto"/>
                <w:left w:val="none" w:sz="0" w:space="0" w:color="auto"/>
                <w:bottom w:val="none" w:sz="0" w:space="0" w:color="auto"/>
                <w:right w:val="none" w:sz="0" w:space="0" w:color="auto"/>
              </w:divBdr>
              <w:divsChild>
                <w:div w:id="701130476">
                  <w:marLeft w:val="0"/>
                  <w:marRight w:val="0"/>
                  <w:marTop w:val="0"/>
                  <w:marBottom w:val="0"/>
                  <w:divBdr>
                    <w:top w:val="none" w:sz="0" w:space="0" w:color="auto"/>
                    <w:left w:val="none" w:sz="0" w:space="0" w:color="auto"/>
                    <w:bottom w:val="none" w:sz="0" w:space="0" w:color="auto"/>
                    <w:right w:val="none" w:sz="0" w:space="0" w:color="auto"/>
                  </w:divBdr>
                </w:div>
              </w:divsChild>
            </w:div>
            <w:div w:id="686060103">
              <w:marLeft w:val="0"/>
              <w:marRight w:val="0"/>
              <w:marTop w:val="0"/>
              <w:marBottom w:val="0"/>
              <w:divBdr>
                <w:top w:val="none" w:sz="0" w:space="0" w:color="auto"/>
                <w:left w:val="none" w:sz="0" w:space="0" w:color="auto"/>
                <w:bottom w:val="none" w:sz="0" w:space="0" w:color="auto"/>
                <w:right w:val="none" w:sz="0" w:space="0" w:color="auto"/>
              </w:divBdr>
              <w:divsChild>
                <w:div w:id="1542867070">
                  <w:marLeft w:val="0"/>
                  <w:marRight w:val="0"/>
                  <w:marTop w:val="0"/>
                  <w:marBottom w:val="0"/>
                  <w:divBdr>
                    <w:top w:val="none" w:sz="0" w:space="0" w:color="auto"/>
                    <w:left w:val="none" w:sz="0" w:space="0" w:color="auto"/>
                    <w:bottom w:val="none" w:sz="0" w:space="0" w:color="auto"/>
                    <w:right w:val="none" w:sz="0" w:space="0" w:color="auto"/>
                  </w:divBdr>
                </w:div>
              </w:divsChild>
            </w:div>
            <w:div w:id="520750709">
              <w:marLeft w:val="0"/>
              <w:marRight w:val="0"/>
              <w:marTop w:val="0"/>
              <w:marBottom w:val="0"/>
              <w:divBdr>
                <w:top w:val="none" w:sz="0" w:space="0" w:color="auto"/>
                <w:left w:val="none" w:sz="0" w:space="0" w:color="auto"/>
                <w:bottom w:val="none" w:sz="0" w:space="0" w:color="auto"/>
                <w:right w:val="none" w:sz="0" w:space="0" w:color="auto"/>
              </w:divBdr>
              <w:divsChild>
                <w:div w:id="823011632">
                  <w:marLeft w:val="0"/>
                  <w:marRight w:val="0"/>
                  <w:marTop w:val="0"/>
                  <w:marBottom w:val="0"/>
                  <w:divBdr>
                    <w:top w:val="none" w:sz="0" w:space="0" w:color="auto"/>
                    <w:left w:val="none" w:sz="0" w:space="0" w:color="auto"/>
                    <w:bottom w:val="none" w:sz="0" w:space="0" w:color="auto"/>
                    <w:right w:val="none" w:sz="0" w:space="0" w:color="auto"/>
                  </w:divBdr>
                </w:div>
              </w:divsChild>
            </w:div>
            <w:div w:id="2051372291">
              <w:marLeft w:val="0"/>
              <w:marRight w:val="0"/>
              <w:marTop w:val="0"/>
              <w:marBottom w:val="0"/>
              <w:divBdr>
                <w:top w:val="none" w:sz="0" w:space="0" w:color="auto"/>
                <w:left w:val="none" w:sz="0" w:space="0" w:color="auto"/>
                <w:bottom w:val="none" w:sz="0" w:space="0" w:color="auto"/>
                <w:right w:val="none" w:sz="0" w:space="0" w:color="auto"/>
              </w:divBdr>
              <w:divsChild>
                <w:div w:id="1065303858">
                  <w:marLeft w:val="0"/>
                  <w:marRight w:val="0"/>
                  <w:marTop w:val="0"/>
                  <w:marBottom w:val="0"/>
                  <w:divBdr>
                    <w:top w:val="none" w:sz="0" w:space="0" w:color="auto"/>
                    <w:left w:val="none" w:sz="0" w:space="0" w:color="auto"/>
                    <w:bottom w:val="none" w:sz="0" w:space="0" w:color="auto"/>
                    <w:right w:val="none" w:sz="0" w:space="0" w:color="auto"/>
                  </w:divBdr>
                </w:div>
              </w:divsChild>
            </w:div>
            <w:div w:id="1426803323">
              <w:marLeft w:val="0"/>
              <w:marRight w:val="0"/>
              <w:marTop w:val="0"/>
              <w:marBottom w:val="0"/>
              <w:divBdr>
                <w:top w:val="none" w:sz="0" w:space="0" w:color="auto"/>
                <w:left w:val="none" w:sz="0" w:space="0" w:color="auto"/>
                <w:bottom w:val="none" w:sz="0" w:space="0" w:color="auto"/>
                <w:right w:val="none" w:sz="0" w:space="0" w:color="auto"/>
              </w:divBdr>
              <w:divsChild>
                <w:div w:id="46878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1133">
          <w:marLeft w:val="0"/>
          <w:marRight w:val="0"/>
          <w:marTop w:val="0"/>
          <w:marBottom w:val="0"/>
          <w:divBdr>
            <w:top w:val="none" w:sz="0" w:space="0" w:color="auto"/>
            <w:left w:val="none" w:sz="0" w:space="0" w:color="auto"/>
            <w:bottom w:val="none" w:sz="0" w:space="0" w:color="auto"/>
            <w:right w:val="none" w:sz="0" w:space="0" w:color="auto"/>
          </w:divBdr>
          <w:divsChild>
            <w:div w:id="16580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1614</Words>
  <Characters>9689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imickiewicz</dc:creator>
  <cp:lastModifiedBy>imickiewicz</cp:lastModifiedBy>
  <cp:revision>2</cp:revision>
  <dcterms:created xsi:type="dcterms:W3CDTF">2023-01-25T07:34:00Z</dcterms:created>
  <dcterms:modified xsi:type="dcterms:W3CDTF">2023-01-25T07:34:00Z</dcterms:modified>
</cp:coreProperties>
</file>